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Arial" w:cs="Arial" w:eastAsia="Arial" w:hAnsi="Arial"/>
          <w:b/>
          <w:bCs/>
          <w:color w:val="E43D2B"/>
        </w:rPr>
        <w:t xml:space="preserve">Product launch intelligence pack</w:t>
      </w:r>
    </w:p>
    <w:p>
      <w:pPr>
        <w:pStyle w:val="Heading1"/>
      </w:pPr>
      <w:r>
        <w:rPr>
          <w:rFonts w:ascii="Arial" w:cs="Arial" w:eastAsia="Arial" w:hAnsi="Arial"/>
          <w:b/>
          <w:bCs/>
          <w:color w:val="171717"/>
        </w:rPr>
        <w:t xml:space="preserve">Executive summary</w:t>
      </w:r>
    </w:p>
    <w:p>
      <w:r>
        <w:rPr>
          <w:rFonts w:ascii="Arial" w:cs="Arial" w:eastAsia="Arial" w:hAnsi="Arial"/>
          <w:color w:val="303030"/>
        </w:rPr>
        <w:t xml:space="preserve">SignalGarden is launching a paid offline-first mobile inspection checklist for small solar-installation crews in Chile. Evidence from private beta and workflow interviews shows strong demand for offline access and audit trails, with supervisor sign-off as a secondary need. Competitors offer offline forms and approval but lack Chile-specific onboarding. The launch will target crew leads and operations managers via email, partner webinars, and field-sales leave-behinds, constrained to 20 new firms and USD 8,000 budget. Positioning emphasizes offline reliability and audit trails, with Spanish onboarding ready. Key risks include sync conflicts and limited capacity; measurement will track activation, engagement, and conversion.</w:t>
      </w:r>
    </w:p>
    <w:p>
      <w:pPr>
        <w:pStyle w:val="Heading1"/>
      </w:pPr>
      <w:r>
        <w:rPr>
          <w:rFonts w:ascii="Arial" w:cs="Arial" w:eastAsia="Arial" w:hAnsi="Arial"/>
          <w:b/>
          <w:bCs/>
          <w:color w:val="171717"/>
        </w:rPr>
        <w:t xml:space="preserve">Audience and problem evidence</w:t>
      </w:r>
    </w:p>
    <w:p>
      <w:r>
        <w:rPr>
          <w:rFonts w:ascii="Arial" w:cs="Arial" w:eastAsia="Arial" w:hAnsi="Arial"/>
          <w:color w:val="303030"/>
        </w:rPr>
        <w:t xml:space="preserve">Primary audience: crew leads and operations managers at small solar-installation firms in Chile. Evidence: 12 crew leads and 6 operations managers interviewed; 10 crew leads described unreliable field connectivity; 5 operations managers ranked audit trails above faster checklist completion. Private beta: 5 of 9 firms cited offline checklist access as most valuable; 4 asked for supervisor sign-off; 2 reported sync conflicts.</w:t>
      </w:r>
    </w:p>
    <w:p>
      <w:pPr>
        <w:pStyle w:val="IntenseQuote"/>
      </w:pPr>
      <w:r>
        <w:rPr>
          <w:rFonts w:ascii="Arial" w:cs="Arial" w:eastAsia="Arial" w:hAnsi="Arial"/>
          <w:i/>
          <w:iCs/>
          <w:color w:val="666666"/>
        </w:rPr>
        <w:t xml:space="preserve">Sources: S1, S2</w:t>
      </w:r>
    </w:p>
    <w:p>
      <w:pPr>
        <w:pStyle w:val="Heading1"/>
      </w:pPr>
      <w:r>
        <w:rPr>
          <w:rFonts w:ascii="Arial" w:cs="Arial" w:eastAsia="Arial" w:hAnsi="Arial"/>
          <w:b/>
          <w:bCs/>
          <w:color w:val="171717"/>
        </w:rPr>
        <w:t xml:space="preserve">Problem statement</w:t>
      </w:r>
    </w:p>
    <w:p>
      <w:r>
        <w:rPr>
          <w:rFonts w:ascii="Arial" w:cs="Arial" w:eastAsia="Arial" w:hAnsi="Arial"/>
          <w:color w:val="303030"/>
        </w:rPr>
        <w:t xml:space="preserve">Crew leads face unreliable field connectivity, making online checklists impractical. Operations managers need audit trails for compliance and oversight. Existing tools lack Chile-specific onboarding, and supervisor sign-off is a common request. SignalGarden addresses these with offline-first checklists and audit trails.</w:t>
      </w:r>
    </w:p>
    <w:p>
      <w:pPr>
        <w:pStyle w:val="IntenseQuote"/>
      </w:pPr>
      <w:r>
        <w:rPr>
          <w:rFonts w:ascii="Arial" w:cs="Arial" w:eastAsia="Arial" w:hAnsi="Arial"/>
          <w:i/>
          <w:iCs/>
          <w:color w:val="666666"/>
        </w:rPr>
        <w:t xml:space="preserve">Sources: S2, S3</w:t>
      </w:r>
    </w:p>
    <w:p>
      <w:pPr>
        <w:pStyle w:val="Heading1"/>
      </w:pPr>
      <w:r>
        <w:rPr>
          <w:rFonts w:ascii="Arial" w:cs="Arial" w:eastAsia="Arial" w:hAnsi="Arial"/>
          <w:b/>
          <w:bCs/>
          <w:color w:val="171717"/>
        </w:rPr>
        <w:t xml:space="preserve">Positioning statement</w:t>
      </w:r>
    </w:p>
    <w:p>
      <w:r>
        <w:rPr>
          <w:rFonts w:ascii="Arial" w:cs="Arial" w:eastAsia="Arial" w:hAnsi="Arial"/>
          <w:color w:val="303030"/>
        </w:rPr>
        <w:t xml:space="preserve">For small solar-installation crews in Chile, SignalGarden is the offline-first inspection checklist that ensures reliable field operations and audit-ready records, unlike competitors that lack Chile-specific onboarding. Our solution works without connectivity and prioritizes audit trails, as validated by beta users and interviews.</w:t>
      </w:r>
    </w:p>
    <w:p>
      <w:pPr>
        <w:pStyle w:val="IntenseQuote"/>
      </w:pPr>
      <w:r>
        <w:rPr>
          <w:rFonts w:ascii="Arial" w:cs="Arial" w:eastAsia="Arial" w:hAnsi="Arial"/>
          <w:i/>
          <w:iCs/>
          <w:color w:val="666666"/>
        </w:rPr>
        <w:t xml:space="preserve">Sources: S1, S2, S3</w:t>
      </w:r>
    </w:p>
    <w:p>
      <w:pPr>
        <w:pStyle w:val="Heading1"/>
      </w:pPr>
      <w:r>
        <w:rPr>
          <w:rFonts w:ascii="Arial" w:cs="Arial" w:eastAsia="Arial" w:hAnsi="Arial"/>
          <w:b/>
          <w:bCs/>
          <w:color w:val="171717"/>
        </w:rPr>
        <w:t xml:space="preserve">Competitor snapshot</w:t>
      </w:r>
    </w:p>
    <w:p>
      <w:r>
        <w:rPr>
          <w:rFonts w:ascii="Arial" w:cs="Arial" w:eastAsia="Arial" w:hAnsi="Arial"/>
          <w:color w:val="303030"/>
        </w:rPr>
        <w:t xml:space="preserve">FieldLedger offers offline forms at USD 24/user/month; InstallFlow offers supervisor approval at USD 39/user/month. Neither mentions Chile-specific onboarding. SignalGarden differentiates with offline-first design, audit trails, and Spanish onboarding.</w:t>
      </w:r>
    </w:p>
    <w:p>
      <w:pPr>
        <w:pStyle w:val="IntenseQuote"/>
      </w:pPr>
      <w:r>
        <w:rPr>
          <w:rFonts w:ascii="Arial" w:cs="Arial" w:eastAsia="Arial" w:hAnsi="Arial"/>
          <w:i/>
          <w:iCs/>
          <w:color w:val="666666"/>
        </w:rPr>
        <w:t xml:space="preserve">Sources: S3</w:t>
      </w:r>
    </w:p>
    <w:p>
      <w:pPr>
        <w:pStyle w:val="Heading1"/>
      </w:pPr>
      <w:r>
        <w:rPr>
          <w:rFonts w:ascii="Arial" w:cs="Arial" w:eastAsia="Arial" w:hAnsi="Arial"/>
          <w:b/>
          <w:bCs/>
          <w:color w:val="171717"/>
        </w:rPr>
        <w:t xml:space="preserve">Messaging matrix</w:t>
      </w:r>
    </w:p>
    <w:p>
      <w:r>
        <w:rPr>
          <w:rFonts w:ascii="Arial" w:cs="Arial" w:eastAsia="Arial" w:hAnsi="Arial"/>
          <w:color w:val="303030"/>
        </w:rPr>
        <w:t xml:space="preserve">Channel-specific messages: Email to crew leads emphasizes offline reliability; partner webinars highlight audit trails for operations managers; field-sales leave-behinds focus on Spanish onboarding and quick setup. All messages reference evidence of offline value and audit trail demand.</w:t>
      </w:r>
    </w:p>
    <w:p>
      <w:pPr>
        <w:pStyle w:val="IntenseQuote"/>
      </w:pPr>
      <w:r>
        <w:rPr>
          <w:rFonts w:ascii="Arial" w:cs="Arial" w:eastAsia="Arial" w:hAnsi="Arial"/>
          <w:i/>
          <w:iCs/>
          <w:color w:val="666666"/>
        </w:rPr>
        <w:t xml:space="preserve">Sources: S1, S2, S3</w:t>
      </w:r>
    </w:p>
    <w:p>
      <w:pPr>
        <w:pStyle w:val="Heading1"/>
      </w:pPr>
      <w:r>
        <w:rPr>
          <w:rFonts w:ascii="Arial" w:cs="Arial" w:eastAsia="Arial" w:hAnsi="Arial"/>
          <w:b/>
          <w:bCs/>
          <w:color w:val="171717"/>
        </w:rPr>
        <w:t xml:space="preserve">Launch risks</w:t>
      </w:r>
    </w:p>
    <w:p>
      <w:r>
        <w:rPr>
          <w:rFonts w:ascii="Arial" w:cs="Arial" w:eastAsia="Arial" w:hAnsi="Arial"/>
          <w:color w:val="303030"/>
        </w:rPr>
        <w:t xml:space="preserve">Key risks: sync conflicts reported by 2 beta firms; limited capacity of 20 new firms in first month; budget of USD 8,000 constrains reach; Portuguese onboarding not ready, limiting broader LATAM expansion. Mitigations: prioritize sync reliability, focus on Spanish-speaking Chile market, and use cost-effective partner webinars.</w:t>
      </w:r>
    </w:p>
    <w:p>
      <w:pPr>
        <w:pStyle w:val="IntenseQuote"/>
      </w:pPr>
      <w:r>
        <w:rPr>
          <w:rFonts w:ascii="Arial" w:cs="Arial" w:eastAsia="Arial" w:hAnsi="Arial"/>
          <w:i/>
          <w:iCs/>
          <w:color w:val="666666"/>
        </w:rPr>
        <w:t xml:space="preserve">Sources: S1, S4</w:t>
      </w:r>
    </w:p>
    <w:p>
      <w:pPr>
        <w:pStyle w:val="Heading1"/>
      </w:pPr>
      <w:r>
        <w:rPr>
          <w:rFonts w:ascii="Arial" w:cs="Arial" w:eastAsia="Arial" w:hAnsi="Arial"/>
          <w:b/>
          <w:bCs/>
          <w:color w:val="171717"/>
        </w:rPr>
        <w:t xml:space="preserve">Measurement plan</w:t>
      </w:r>
    </w:p>
    <w:p>
      <w:r>
        <w:rPr>
          <w:rFonts w:ascii="Arial" w:cs="Arial" w:eastAsia="Arial" w:hAnsi="Arial"/>
          <w:color w:val="303030"/>
        </w:rPr>
        <w:t xml:space="preserve">Track activation (firms onboarded), engagement (checklist completions per crew), and conversion (free to paid). Monitor sync conflict reports and webinar attendance. Use beta baseline of 9 firms and 5 citing offline value as benchmark.</w:t>
      </w:r>
    </w:p>
    <w:p>
      <w:pPr>
        <w:pStyle w:val="IntenseQuote"/>
      </w:pPr>
      <w:r>
        <w:rPr>
          <w:rFonts w:ascii="Arial" w:cs="Arial" w:eastAsia="Arial" w:hAnsi="Arial"/>
          <w:i/>
          <w:iCs/>
          <w:color w:val="666666"/>
        </w:rPr>
        <w:t xml:space="preserve">Sources: S1, S4</w:t>
      </w:r>
    </w:p>
    <w:p>
      <w:pPr>
        <w:pStyle w:val="Heading2"/>
      </w:pPr>
      <w:r>
        <w:rPr>
          <w:rFonts w:ascii="Arial" w:cs="Arial" w:eastAsia="Arial" w:hAnsi="Arial"/>
          <w:b/>
          <w:bCs/>
          <w:color w:val="171717"/>
        </w:rPr>
        <w:t xml:space="preserve">Competitor comparison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p>
            <w:r>
              <w:rPr>
                <w:rFonts w:ascii="Arial" w:cs="Arial" w:eastAsia="Arial" w:hAnsi="Arial"/>
                <w:b/>
                <w:bCs/>
              </w:rPr>
              <w:t xml:space="preserve">feature</w:t>
            </w:r>
          </w:p>
        </w:tc>
        <w:tc>
          <w:p>
            <w:r>
              <w:rPr>
                <w:rFonts w:ascii="Arial" w:cs="Arial" w:eastAsia="Arial" w:hAnsi="Arial"/>
                <w:b/>
                <w:bCs/>
              </w:rPr>
              <w:t xml:space="preserve">signalGarden</w:t>
            </w:r>
          </w:p>
        </w:tc>
        <w:tc>
          <w:p>
            <w:r>
              <w:rPr>
                <w:rFonts w:ascii="Arial" w:cs="Arial" w:eastAsia="Arial" w:hAnsi="Arial"/>
                <w:b/>
                <w:bCs/>
              </w:rPr>
              <w:t xml:space="preserve">fieldLedger</w:t>
            </w:r>
          </w:p>
        </w:tc>
        <w:tc>
          <w:p>
            <w:r>
              <w:rPr>
                <w:rFonts w:ascii="Arial" w:cs="Arial" w:eastAsia="Arial" w:hAnsi="Arial"/>
                <w:b/>
                <w:bCs/>
              </w:rPr>
              <w:t xml:space="preserve">installFlow</w:t>
            </w:r>
          </w:p>
        </w:tc>
      </w:tr>
      <w:tr>
        <w:tc>
          <w:p>
            <w:r>
              <w:rPr>
                <w:rFonts w:ascii="Arial" w:cs="Arial" w:eastAsia="Arial" w:hAnsi="Arial"/>
                <w:b w:val="false"/>
                <w:bCs w:val="false"/>
              </w:rPr>
              <w:t xml:space="preserve">Offline forms</w:t>
            </w:r>
          </w:p>
        </w:tc>
        <w:tc>
          <w:p>
            <w:r>
              <w:rPr>
                <w:rFonts w:ascii="Arial" w:cs="Arial" w:eastAsia="Arial" w:hAnsi="Arial"/>
                <w:b w:val="false"/>
                <w:bCs w:val="false"/>
              </w:rPr>
              <w:t xml:space="preserve">Yes</w:t>
            </w:r>
          </w:p>
        </w:tc>
        <w:tc>
          <w:p>
            <w:r>
              <w:rPr>
                <w:rFonts w:ascii="Arial" w:cs="Arial" w:eastAsia="Arial" w:hAnsi="Arial"/>
                <w:b w:val="false"/>
                <w:bCs w:val="false"/>
              </w:rPr>
              <w:t xml:space="preserve">Yes</w:t>
            </w:r>
          </w:p>
        </w:tc>
        <w:tc>
          <w:p>
            <w:r>
              <w:rPr>
                <w:rFonts w:ascii="Arial" w:cs="Arial" w:eastAsia="Arial" w:hAnsi="Arial"/>
                <w:b w:val="false"/>
                <w:bCs w:val="false"/>
              </w:rPr>
              <w:t xml:space="preserve">No</w:t>
            </w:r>
          </w:p>
        </w:tc>
      </w:tr>
      <w:tr>
        <w:tc>
          <w:p>
            <w:r>
              <w:rPr>
                <w:rFonts w:ascii="Arial" w:cs="Arial" w:eastAsia="Arial" w:hAnsi="Arial"/>
                <w:b w:val="false"/>
                <w:bCs w:val="false"/>
              </w:rPr>
              <w:t xml:space="preserve">Supervisor approval</w:t>
            </w:r>
          </w:p>
        </w:tc>
        <w:tc>
          <w:p>
            <w:r>
              <w:rPr>
                <w:rFonts w:ascii="Arial" w:cs="Arial" w:eastAsia="Arial" w:hAnsi="Arial"/>
                <w:b w:val="false"/>
                <w:bCs w:val="false"/>
              </w:rPr>
              <w:t xml:space="preserve">Planned</w:t>
            </w:r>
          </w:p>
        </w:tc>
        <w:tc>
          <w:p>
            <w:r>
              <w:rPr>
                <w:rFonts w:ascii="Arial" w:cs="Arial" w:eastAsia="Arial" w:hAnsi="Arial"/>
                <w:b w:val="false"/>
                <w:bCs w:val="false"/>
              </w:rPr>
              <w:t xml:space="preserve">No</w:t>
            </w:r>
          </w:p>
        </w:tc>
        <w:tc>
          <w:p>
            <w:r>
              <w:rPr>
                <w:rFonts w:ascii="Arial" w:cs="Arial" w:eastAsia="Arial" w:hAnsi="Arial"/>
                <w:b w:val="false"/>
                <w:bCs w:val="false"/>
              </w:rPr>
              <w:t xml:space="preserve">Yes</w:t>
            </w:r>
          </w:p>
        </w:tc>
      </w:tr>
      <w:tr>
        <w:tc>
          <w:p>
            <w:r>
              <w:rPr>
                <w:rFonts w:ascii="Arial" w:cs="Arial" w:eastAsia="Arial" w:hAnsi="Arial"/>
                <w:b w:val="false"/>
                <w:bCs w:val="false"/>
              </w:rPr>
              <w:t xml:space="preserve">Chile-specific onboarding</w:t>
            </w:r>
          </w:p>
        </w:tc>
        <w:tc>
          <w:p>
            <w:r>
              <w:rPr>
                <w:rFonts w:ascii="Arial" w:cs="Arial" w:eastAsia="Arial" w:hAnsi="Arial"/>
                <w:b w:val="false"/>
                <w:bCs w:val="false"/>
              </w:rPr>
              <w:t xml:space="preserve">Yes</w:t>
            </w:r>
          </w:p>
        </w:tc>
        <w:tc>
          <w:p>
            <w:r>
              <w:rPr>
                <w:rFonts w:ascii="Arial" w:cs="Arial" w:eastAsia="Arial" w:hAnsi="Arial"/>
                <w:b w:val="false"/>
                <w:bCs w:val="false"/>
              </w:rPr>
              <w:t xml:space="preserve">No</w:t>
            </w:r>
          </w:p>
        </w:tc>
        <w:tc>
          <w:p>
            <w:r>
              <w:rPr>
                <w:rFonts w:ascii="Arial" w:cs="Arial" w:eastAsia="Arial" w:hAnsi="Arial"/>
                <w:b w:val="false"/>
                <w:bCs w:val="false"/>
              </w:rPr>
              <w:t xml:space="preserve">No</w:t>
            </w:r>
          </w:p>
        </w:tc>
      </w:tr>
      <w:tr>
        <w:tc>
          <w:p>
            <w:r>
              <w:rPr>
                <w:rFonts w:ascii="Arial" w:cs="Arial" w:eastAsia="Arial" w:hAnsi="Arial"/>
                <w:b w:val="false"/>
                <w:bCs w:val="false"/>
              </w:rPr>
              <w:t xml:space="preserve">Audit trails</w:t>
            </w:r>
          </w:p>
        </w:tc>
        <w:tc>
          <w:p>
            <w:r>
              <w:rPr>
                <w:rFonts w:ascii="Arial" w:cs="Arial" w:eastAsia="Arial" w:hAnsi="Arial"/>
                <w:b w:val="false"/>
                <w:bCs w:val="false"/>
              </w:rPr>
              <w:t xml:space="preserve">Yes</w:t>
            </w:r>
          </w:p>
        </w:tc>
        <w:tc>
          <w:p>
            <w:r>
              <w:rPr>
                <w:rFonts w:ascii="Arial" w:cs="Arial" w:eastAsia="Arial" w:hAnsi="Arial"/>
                <w:b w:val="false"/>
                <w:bCs w:val="false"/>
              </w:rPr>
              <w:t xml:space="preserve">No</w:t>
            </w:r>
          </w:p>
        </w:tc>
        <w:tc>
          <w:p>
            <w:r>
              <w:rPr>
                <w:rFonts w:ascii="Arial" w:cs="Arial" w:eastAsia="Arial" w:hAnsi="Arial"/>
                <w:b w:val="false"/>
                <w:bCs w:val="false"/>
              </w:rPr>
              <w:t xml:space="preserve">No</w:t>
            </w:r>
          </w:p>
        </w:tc>
      </w:tr>
    </w:tbl>
    <w:p>
      <w:pPr>
        <w:pStyle w:val="Heading2"/>
      </w:pPr>
      <w:r>
        <w:rPr>
          <w:rFonts w:ascii="Arial" w:cs="Arial" w:eastAsia="Arial" w:hAnsi="Arial"/>
          <w:b/>
          <w:bCs/>
          <w:color w:val="171717"/>
        </w:rPr>
        <w:t xml:space="preserve">Channel-specific messaging matrix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p>
            <w:r>
              <w:rPr>
                <w:rFonts w:ascii="Arial" w:cs="Arial" w:eastAsia="Arial" w:hAnsi="Arial"/>
                <w:b/>
                <w:bCs/>
              </w:rPr>
              <w:t xml:space="preserve">audience</w:t>
            </w:r>
          </w:p>
        </w:tc>
        <w:tc>
          <w:p>
            <w:r>
              <w:rPr>
                <w:rFonts w:ascii="Arial" w:cs="Arial" w:eastAsia="Arial" w:hAnsi="Arial"/>
                <w:b/>
                <w:bCs/>
              </w:rPr>
              <w:t xml:space="preserve">message</w:t>
            </w:r>
          </w:p>
        </w:tc>
        <w:tc>
          <w:p>
            <w:r>
              <w:rPr>
                <w:rFonts w:ascii="Arial" w:cs="Arial" w:eastAsia="Arial" w:hAnsi="Arial"/>
                <w:b/>
                <w:bCs/>
              </w:rPr>
              <w:t xml:space="preserve">channel</w:t>
            </w:r>
          </w:p>
        </w:tc>
        <w:tc>
          <w:p>
            <w:r>
              <w:rPr>
                <w:rFonts w:ascii="Arial" w:cs="Arial" w:eastAsia="Arial" w:hAnsi="Arial"/>
                <w:b/>
                <w:bCs/>
              </w:rPr>
              <w:t xml:space="preserve">evidence</w:t>
            </w:r>
          </w:p>
        </w:tc>
      </w:tr>
      <w:tr>
        <w:tc>
          <w:p>
            <w:r>
              <w:rPr>
                <w:rFonts w:ascii="Arial" w:cs="Arial" w:eastAsia="Arial" w:hAnsi="Arial"/>
                <w:b w:val="false"/>
                <w:bCs w:val="false"/>
              </w:rPr>
              <w:t xml:space="preserve">Crew leads</w:t>
            </w:r>
          </w:p>
        </w:tc>
        <w:tc>
          <w:p>
            <w:r>
              <w:rPr>
                <w:rFonts w:ascii="Arial" w:cs="Arial" w:eastAsia="Arial" w:hAnsi="Arial"/>
                <w:b w:val="false"/>
                <w:bCs w:val="false"/>
              </w:rPr>
              <w:t xml:space="preserve">Work offline without connectivity</w:t>
            </w:r>
          </w:p>
        </w:tc>
        <w:tc>
          <w:p>
            <w:r>
              <w:rPr>
                <w:rFonts w:ascii="Arial" w:cs="Arial" w:eastAsia="Arial" w:hAnsi="Arial"/>
                <w:b w:val="false"/>
                <w:bCs w:val="false"/>
              </w:rPr>
              <w:t xml:space="preserve">Email</w:t>
            </w:r>
          </w:p>
        </w:tc>
        <w:tc>
          <w:p>
            <w:r>
              <w:rPr>
                <w:rFonts w:ascii="Arial" w:cs="Arial" w:eastAsia="Arial" w:hAnsi="Arial"/>
                <w:b w:val="false"/>
                <w:bCs w:val="false"/>
              </w:rPr>
              <w:t xml:space="preserve">S2</w:t>
            </w:r>
          </w:p>
        </w:tc>
      </w:tr>
      <w:tr>
        <w:tc>
          <w:p>
            <w:r>
              <w:rPr>
                <w:rFonts w:ascii="Arial" w:cs="Arial" w:eastAsia="Arial" w:hAnsi="Arial"/>
                <w:b w:val="false"/>
                <w:bCs w:val="false"/>
              </w:rPr>
              <w:t xml:space="preserve">Operations managers</w:t>
            </w:r>
          </w:p>
        </w:tc>
        <w:tc>
          <w:p>
            <w:r>
              <w:rPr>
                <w:rFonts w:ascii="Arial" w:cs="Arial" w:eastAsia="Arial" w:hAnsi="Arial"/>
                <w:b w:val="false"/>
                <w:bCs w:val="false"/>
              </w:rPr>
              <w:t xml:space="preserve">Audit trails for compliance</w:t>
            </w:r>
          </w:p>
        </w:tc>
        <w:tc>
          <w:p>
            <w:r>
              <w:rPr>
                <w:rFonts w:ascii="Arial" w:cs="Arial" w:eastAsia="Arial" w:hAnsi="Arial"/>
                <w:b w:val="false"/>
                <w:bCs w:val="false"/>
              </w:rPr>
              <w:t xml:space="preserve">Partner webinars</w:t>
            </w:r>
          </w:p>
        </w:tc>
        <w:tc>
          <w:p>
            <w:r>
              <w:rPr>
                <w:rFonts w:ascii="Arial" w:cs="Arial" w:eastAsia="Arial" w:hAnsi="Arial"/>
                <w:b w:val="false"/>
                <w:bCs w:val="false"/>
              </w:rPr>
              <w:t xml:space="preserve">S2</w:t>
            </w:r>
          </w:p>
        </w:tc>
      </w:tr>
      <w:tr>
        <w:tc>
          <w:p>
            <w:r>
              <w:rPr>
                <w:rFonts w:ascii="Arial" w:cs="Arial" w:eastAsia="Arial" w:hAnsi="Arial"/>
                <w:b w:val="false"/>
                <w:bCs w:val="false"/>
              </w:rPr>
              <w:t xml:space="preserve">Crew leads and ops managers</w:t>
            </w:r>
          </w:p>
        </w:tc>
        <w:tc>
          <w:p>
            <w:r>
              <w:rPr>
                <w:rFonts w:ascii="Arial" w:cs="Arial" w:eastAsia="Arial" w:hAnsi="Arial"/>
                <w:b w:val="false"/>
                <w:bCs w:val="false"/>
              </w:rPr>
              <w:t xml:space="preserve">Spanish onboarding ready</w:t>
            </w:r>
          </w:p>
        </w:tc>
        <w:tc>
          <w:p>
            <w:r>
              <w:rPr>
                <w:rFonts w:ascii="Arial" w:cs="Arial" w:eastAsia="Arial" w:hAnsi="Arial"/>
                <w:b w:val="false"/>
                <w:bCs w:val="false"/>
              </w:rPr>
              <w:t xml:space="preserve">Field-sales leave-behinds</w:t>
            </w:r>
          </w:p>
        </w:tc>
        <w:tc>
          <w:p>
            <w:r>
              <w:rPr>
                <w:rFonts w:ascii="Arial" w:cs="Arial" w:eastAsia="Arial" w:hAnsi="Arial"/>
                <w:b w:val="false"/>
                <w:bCs w:val="false"/>
              </w:rPr>
              <w:t xml:space="preserve">S4</w:t>
            </w:r>
          </w:p>
        </w:tc>
      </w:tr>
      <w:tr>
        <w:tc>
          <w:p>
            <w:r>
              <w:rPr>
                <w:rFonts w:ascii="Arial" w:cs="Arial" w:eastAsia="Arial" w:hAnsi="Arial"/>
                <w:b w:val="false"/>
                <w:bCs w:val="false"/>
              </w:rPr>
              <w:t xml:space="preserve">Crew leads</w:t>
            </w:r>
          </w:p>
        </w:tc>
        <w:tc>
          <w:p>
            <w:r>
              <w:rPr>
                <w:rFonts w:ascii="Arial" w:cs="Arial" w:eastAsia="Arial" w:hAnsi="Arial"/>
                <w:b w:val="false"/>
                <w:bCs w:val="false"/>
              </w:rPr>
              <w:t xml:space="preserve">Offline checklists save time</w:t>
            </w:r>
          </w:p>
        </w:tc>
        <w:tc>
          <w:p>
            <w:r>
              <w:rPr>
                <w:rFonts w:ascii="Arial" w:cs="Arial" w:eastAsia="Arial" w:hAnsi="Arial"/>
                <w:b w:val="false"/>
                <w:bCs w:val="false"/>
              </w:rPr>
              <w:t xml:space="preserve">Email</w:t>
            </w:r>
          </w:p>
        </w:tc>
        <w:tc>
          <w:p>
            <w:r>
              <w:rPr>
                <w:rFonts w:ascii="Arial" w:cs="Arial" w:eastAsia="Arial" w:hAnsi="Arial"/>
                <w:b w:val="false"/>
                <w:bCs w:val="false"/>
              </w:rPr>
              <w:t xml:space="preserve">S1</w:t>
            </w:r>
          </w:p>
        </w:tc>
      </w:tr>
    </w:tbl>
    <w:p>
      <w:pPr>
        <w:pStyle w:val="Heading1"/>
      </w:pPr>
      <w:r>
        <w:t xml:space="preserve">Sources</w:t>
      </w:r>
    </w:p>
    <w:p>
      <w:r>
        <w:rPr>
          <w:rFonts w:ascii="Arial" w:cs="Arial" w:eastAsia="Arial" w:hAnsi="Arial"/>
          <w:color w:val="303030"/>
        </w:rPr>
        <w:t xml:space="preserve">S1 — SignalGarden private-beta summary — https://signal-garden.example.test/evidence/beta-summary</w:t>
      </w:r>
    </w:p>
    <w:p>
      <w:r>
        <w:rPr>
          <w:rFonts w:ascii="Arial" w:cs="Arial" w:eastAsia="Arial" w:hAnsi="Arial"/>
          <w:color w:val="303030"/>
        </w:rPr>
        <w:t xml:space="preserve">S2 — Chile installer workflow interviews — https://signal-garden.example.test/evidence/workflow-interviews</w:t>
      </w:r>
    </w:p>
    <w:p>
      <w:r>
        <w:rPr>
          <w:rFonts w:ascii="Arial" w:cs="Arial" w:eastAsia="Arial" w:hAnsi="Arial"/>
          <w:color w:val="303030"/>
        </w:rPr>
        <w:t xml:space="preserve">S3 — Public competitor snapshot — https://solar-software-review.example.test/chile-field-tools-2026</w:t>
      </w:r>
    </w:p>
    <w:p>
      <w:r>
        <w:rPr>
          <w:rFonts w:ascii="Arial" w:cs="Arial" w:eastAsia="Arial" w:hAnsi="Arial"/>
          <w:color w:val="303030"/>
        </w:rPr>
        <w:t xml:space="preserve">S4 — SignalGarden launch constraints — https://signal-garden.example.test/evidence/launch-constraints</w:t>
      </w:r>
    </w:p>
    <w:p>
      <w:pPr>
        <w:pStyle w:val="Heading1"/>
      </w:pPr>
      <w:r>
        <w:t xml:space="preserve">Limitations</w:t>
      </w:r>
    </w:p>
    <w:p>
      <w:pPr>
        <w:pStyle w:val="ListParagraph"/>
        <w:numPr>
          <w:ilvl w:val="0"/>
          <w:numId w:val="1"/>
        </w:numPr>
      </w:pPr>
      <w:r>
        <w:t xml:space="preserve">Evidence is synthetic and based on a small sample (9 beta firms, 18 interviews).</w:t>
      </w:r>
    </w:p>
    <w:p>
      <w:pPr>
        <w:pStyle w:val="ListParagraph"/>
        <w:numPr>
          <w:ilvl w:val="0"/>
          <w:numId w:val="1"/>
        </w:numPr>
      </w:pPr>
      <w:r>
        <w:t xml:space="preserve">Competitor data is from public pages and may not reflect full capabilities.</w:t>
      </w:r>
    </w:p>
    <w:p>
      <w:pPr>
        <w:pStyle w:val="ListParagraph"/>
        <w:numPr>
          <w:ilvl w:val="0"/>
          <w:numId w:val="1"/>
        </w:numPr>
      </w:pPr>
      <w:r>
        <w:t xml:space="preserve">Launch constraints limit first-month scale to 20 firms.</w:t>
      </w:r>
    </w:p>
    <w:p>
      <w:pPr>
        <w:pStyle w:val="ListParagraph"/>
        <w:numPr>
          <w:ilvl w:val="0"/>
          <w:numId w:val="1"/>
        </w:numPr>
      </w:pPr>
      <w:r>
        <w:t xml:space="preserve">Portuguese onboarding not ready, limiting broader LATAM reach.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03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launch intelligence pack</dc:title>
  <dc:creator>Outcome evaluation harness</dc:creator>
  <dc:description>Programmatically rendered evaluation artifact for product-launch-intelligence-pack</dc:description>
  <cp:lastModifiedBy>Un-named</cp:lastModifiedBy>
  <cp:revision>1</cp:revision>
  <dcterms:created xsi:type="dcterms:W3CDTF">2026-08-04T07:45:47.530Z</dcterms:created>
  <dcterms:modified xsi:type="dcterms:W3CDTF">2026-08-04T07:45:47.530Z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