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b/>
          <w:bCs/>
          <w:color w:val="E43D2B"/>
        </w:rPr>
        <w:t xml:space="preserve">Cited research brief</w:t>
      </w:r>
    </w:p>
    <w:p>
      <w:pPr>
        <w:pStyle w:val="Heading1"/>
      </w:pPr>
      <w:r>
        <w:rPr>
          <w:rFonts w:ascii="Arial" w:cs="Arial" w:eastAsia="Arial" w:hAnsi="Arial"/>
          <w:b/>
          <w:bCs/>
          <w:color w:val="171717"/>
        </w:rPr>
        <w:t xml:space="preserve">Executive summary</w:t>
      </w:r>
    </w:p>
    <w:p>
      <w:r>
        <w:rPr>
          <w:rFonts w:ascii="Arial" w:cs="Arial" w:eastAsia="Arial" w:hAnsi="Arial"/>
          <w:color w:val="303030"/>
        </w:rPr>
        <w:t xml:space="preserve">Evidence from AtlasNote's July 2026 support tickets and customer pulse shows meaningful late-evening demand: 31 of 120 tickets arrived between 18:00 and 21:00 Chile time, and 12 of 40 surveyed beta accounts ranked later live support as a top-three improvement. However, the same evidence shows concentration (24 of 31 late tickets from 11 accounts) and mixed sentiment (6 respondents said the current window was sufficient). The estimated cost for a four-week weekday pilot is USD 1,440, excluding weekends and software. The recommendation is to proceed with a four-week pilot, but to monitor account-level impact and revisit after the pilot.</w:t>
      </w:r>
    </w:p>
    <w:p>
      <w:pPr>
        <w:pStyle w:val="Heading1"/>
      </w:pPr>
      <w:r>
        <w:rPr>
          <w:rFonts w:ascii="Arial" w:cs="Arial" w:eastAsia="Arial" w:hAnsi="Arial"/>
          <w:b/>
          <w:bCs/>
          <w:color w:val="171717"/>
        </w:rPr>
        <w:t xml:space="preserve">Method</w:t>
      </w:r>
    </w:p>
    <w:p>
      <w:r>
        <w:rPr>
          <w:rFonts w:ascii="Arial" w:cs="Arial" w:eastAsia="Arial" w:hAnsi="Arial"/>
          <w:color w:val="303030"/>
        </w:rPr>
        <w:t xml:space="preserve">This brief uses only the supplied closed-corpus evidence bundle (fingerprint ba46bf33b9bceebfcd330245b342dd8958873b2baf9a95492bb9e22e02f2ae70). Three sources were reviewed: S1 (support-ticket export), S2 (customer pulse), and S3 (staffing estimate). The analysis separates observed demand (S1, S2) from staffing cost (S3) and explicitly identifies conflicts and uncertainties. No external sources were used.</w:t>
      </w:r>
    </w:p>
    <w:p>
      <w:pPr>
        <w:pStyle w:val="IntenseQuote"/>
      </w:pPr>
      <w:r>
        <w:rPr>
          <w:rFonts w:ascii="Arial" w:cs="Arial" w:eastAsia="Arial" w:hAnsi="Arial"/>
          <w:i/>
          <w:iCs/>
          <w:color w:val="666666"/>
        </w:rPr>
        <w:t xml:space="preserve">Sources: S1, S2, S3</w:t>
      </w:r>
    </w:p>
    <w:p>
      <w:pPr>
        <w:pStyle w:val="Heading1"/>
      </w:pPr>
      <w:r>
        <w:rPr>
          <w:rFonts w:ascii="Arial" w:cs="Arial" w:eastAsia="Arial" w:hAnsi="Arial"/>
          <w:b/>
          <w:bCs/>
          <w:color w:val="171717"/>
        </w:rPr>
        <w:t xml:space="preserve">Finding: Observed demand for extended hours</w:t>
      </w:r>
    </w:p>
    <w:p>
      <w:r>
        <w:rPr>
          <w:rFonts w:ascii="Arial" w:cs="Arial" w:eastAsia="Arial" w:hAnsi="Arial"/>
          <w:color w:val="303030"/>
        </w:rPr>
        <w:t xml:space="preserve">Support-ticket data shows that 31 of 120 tickets (about 26%) arrived between 18:00 and 21:00 Chile time in July 2026, but 24 of those 31 late tickets came from only 11 accounts, indicating concentrated demand. Customer pulse data shows that 12 of 40 respondents selected later live support as a top-three improvement, while 6 said the existing window was sufficient and 22 did not rank support hours in their top three. This suggests a minority but non-trivial demand, concentrated among a few accounts.</w:t>
      </w:r>
    </w:p>
    <w:p>
      <w:pPr>
        <w:pStyle w:val="IntenseQuote"/>
      </w:pPr>
      <w:r>
        <w:rPr>
          <w:rFonts w:ascii="Arial" w:cs="Arial" w:eastAsia="Arial" w:hAnsi="Arial"/>
          <w:i/>
          <w:iCs/>
          <w:color w:val="666666"/>
        </w:rPr>
        <w:t xml:space="preserve">Sources: S1, S2</w:t>
      </w:r>
    </w:p>
    <w:p>
      <w:pPr>
        <w:pStyle w:val="Heading1"/>
      </w:pPr>
      <w:r>
        <w:rPr>
          <w:rFonts w:ascii="Arial" w:cs="Arial" w:eastAsia="Arial" w:hAnsi="Arial"/>
          <w:b/>
          <w:bCs/>
          <w:color w:val="171717"/>
        </w:rPr>
        <w:t xml:space="preserve">Finding: Staffing cost for the pilot</w:t>
      </w:r>
    </w:p>
    <w:p>
      <w:r>
        <w:rPr>
          <w:rFonts w:ascii="Arial" w:cs="Arial" w:eastAsia="Arial" w:hAnsi="Arial"/>
          <w:color w:val="303030"/>
        </w:rPr>
        <w:t xml:space="preserve">The four-week weekday pilot staffed by one support specialist from 18:00 to 21:00 is estimated at USD 1,440. The estimate excludes weekend coverage and assumes no additional software cost. This is the only cost figure provided; no alternative staffing models or cost breakdowns are available.</w:t>
      </w:r>
    </w:p>
    <w:p>
      <w:pPr>
        <w:pStyle w:val="IntenseQuote"/>
      </w:pPr>
      <w:r>
        <w:rPr>
          <w:rFonts w:ascii="Arial" w:cs="Arial" w:eastAsia="Arial" w:hAnsi="Arial"/>
          <w:i/>
          <w:iCs/>
          <w:color w:val="666666"/>
        </w:rPr>
        <w:t xml:space="preserve">Sources: S3</w:t>
      </w:r>
    </w:p>
    <w:p>
      <w:pPr>
        <w:pStyle w:val="Heading1"/>
      </w:pPr>
      <w:r>
        <w:rPr>
          <w:rFonts w:ascii="Arial" w:cs="Arial" w:eastAsia="Arial" w:hAnsi="Arial"/>
          <w:b/>
          <w:bCs/>
          <w:color w:val="171717"/>
        </w:rPr>
        <w:t xml:space="preserve">Uncertainty and conflicts</w:t>
      </w:r>
    </w:p>
    <w:p>
      <w:r>
        <w:rPr>
          <w:rFonts w:ascii="Arial" w:cs="Arial" w:eastAsia="Arial" w:hAnsi="Arial"/>
          <w:color w:val="303030"/>
        </w:rPr>
        <w:t xml:space="preserve">The evidence has notable gaps and conflicts. First, the support-ticket data does not indicate how many of the 31 late tickets were from the same 11 accounts, so the actual breadth of demand is unclear. Second, the customer pulse shows conflicting preferences: 12 respondents wanted later support, but 6 said the current window was sufficient, and 22 did not rank it in their top three. Third, the staffing estimate is a single figure with no sensitivity analysis, and it excludes weekends, which may be relevant if demand extends beyond weekdays. Fourth, the median first response for late tickets was 13 hours versus 4 hours all-hours, but the evidence does not explain why or whether extended hours would reduce that latency. These uncertainties should be considered before committing to a full rollout.</w:t>
      </w:r>
    </w:p>
    <w:p>
      <w:pPr>
        <w:pStyle w:val="IntenseQuote"/>
      </w:pPr>
      <w:r>
        <w:rPr>
          <w:rFonts w:ascii="Arial" w:cs="Arial" w:eastAsia="Arial" w:hAnsi="Arial"/>
          <w:i/>
          <w:iCs/>
          <w:color w:val="666666"/>
        </w:rPr>
        <w:t xml:space="preserve">Sources: S1, S2, S3</w:t>
      </w:r>
    </w:p>
    <w:p>
      <w:pPr>
        <w:pStyle w:val="Heading1"/>
      </w:pPr>
      <w:r>
        <w:rPr>
          <w:rFonts w:ascii="Arial" w:cs="Arial" w:eastAsia="Arial" w:hAnsi="Arial"/>
          <w:b/>
          <w:bCs/>
          <w:color w:val="171717"/>
        </w:rPr>
        <w:t xml:space="preserve">Recommendation</w:t>
      </w:r>
    </w:p>
    <w:p>
      <w:r>
        <w:rPr>
          <w:rFonts w:ascii="Arial" w:cs="Arial" w:eastAsia="Arial" w:hAnsi="Arial"/>
          <w:color w:val="303030"/>
        </w:rPr>
        <w:t xml:space="preserve">Proceed with a four-week weekday pilot from 18:00 to 21:00 Chile time, given the observed demand and the bounded cost of USD 1,440. However, because demand is concentrated (24 of 31 late tickets from 11 accounts) and customer preferences are mixed, the pilot should include explicit tracking of account-level usage and a go/no-go decision after the pilot. If the 11 high-usage accounts are not representative of the broader beta, the pilot may not justify permanent extension. Also, since the estimate excludes weekends, any future expansion beyond weekdays would require additional cost analysis.</w:t>
      </w:r>
    </w:p>
    <w:p>
      <w:pPr>
        <w:pStyle w:val="IntenseQuote"/>
      </w:pPr>
      <w:r>
        <w:rPr>
          <w:rFonts w:ascii="Arial" w:cs="Arial" w:eastAsia="Arial" w:hAnsi="Arial"/>
          <w:i/>
          <w:iCs/>
          <w:color w:val="666666"/>
        </w:rPr>
        <w:t xml:space="preserve">Sources: S1, S2, S3</w:t>
      </w:r>
    </w:p>
    <w:p>
      <w:pPr>
        <w:pStyle w:val="Heading2"/>
      </w:pPr>
      <w:r>
        <w:rPr>
          <w:rFonts w:ascii="Arial" w:cs="Arial" w:eastAsia="Arial" w:hAnsi="Arial"/>
          <w:b/>
          <w:bCs/>
          <w:color w:val="171717"/>
        </w:rPr>
        <w:t xml:space="preserve">Demand vs. cost comparison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rFonts w:ascii="Arial" w:cs="Arial" w:eastAsia="Arial" w:hAnsi="Arial"/>
                <w:b/>
                <w:bCs/>
              </w:rPr>
              <w:t xml:space="preserve">Metric</w:t>
            </w:r>
          </w:p>
        </w:tc>
        <w:tc>
          <w:p>
            <w:r>
              <w:rPr>
                <w:rFonts w:ascii="Arial" w:cs="Arial" w:eastAsia="Arial" w:hAnsi="Arial"/>
                <w:b/>
                <w:bCs/>
              </w:rPr>
              <w:t xml:space="preserve">Value</w:t>
            </w:r>
          </w:p>
        </w:tc>
        <w:tc>
          <w:p>
            <w:r>
              <w:rPr>
                <w:rFonts w:ascii="Arial" w:cs="Arial" w:eastAsia="Arial" w:hAnsi="Arial"/>
                <w:b/>
                <w:bCs/>
              </w:rPr>
              <w:t xml:space="preserve">Source</w:t>
            </w:r>
          </w:p>
        </w:tc>
      </w:tr>
      <w:tr>
        <w:tc>
          <w:p>
            <w:r>
              <w:rPr>
                <w:rFonts w:ascii="Arial" w:cs="Arial" w:eastAsia="Arial" w:hAnsi="Arial"/>
                <w:b w:val="false"/>
                <w:bCs w:val="false"/>
              </w:rPr>
              <w:t xml:space="preserve">Late tickets (18:00-21:00)</w:t>
            </w:r>
          </w:p>
        </w:tc>
        <w:tc>
          <w:p>
            <w:r>
              <w:rPr>
                <w:rFonts w:ascii="Arial" w:cs="Arial" w:eastAsia="Arial" w:hAnsi="Arial"/>
                <w:b w:val="false"/>
                <w:bCs w:val="false"/>
              </w:rPr>
              <w:t xml:space="preserve">31 of 120</w:t>
            </w:r>
          </w:p>
        </w:tc>
        <w:tc>
          <w:p>
            <w:r>
              <w:rPr>
                <w:rFonts w:ascii="Arial" w:cs="Arial" w:eastAsia="Arial" w:hAnsi="Arial"/>
                <w:b w:val="false"/>
                <w:bCs w:val="false"/>
              </w:rPr>
              <w:t xml:space="preserve">S1</w:t>
            </w:r>
          </w:p>
        </w:tc>
      </w:tr>
      <w:tr>
        <w:tc>
          <w:p>
            <w:r>
              <w:rPr>
                <w:rFonts w:ascii="Arial" w:cs="Arial" w:eastAsia="Arial" w:hAnsi="Arial"/>
                <w:b w:val="false"/>
                <w:bCs w:val="false"/>
              </w:rPr>
              <w:t xml:space="preserve">Late tickets from 11 accounts</w:t>
            </w:r>
          </w:p>
        </w:tc>
        <w:tc>
          <w:p>
            <w:r>
              <w:rPr>
                <w:rFonts w:ascii="Arial" w:cs="Arial" w:eastAsia="Arial" w:hAnsi="Arial"/>
                <w:b w:val="false"/>
                <w:bCs w:val="false"/>
              </w:rPr>
              <w:t xml:space="preserve">24 of 31</w:t>
            </w:r>
          </w:p>
        </w:tc>
        <w:tc>
          <w:p>
            <w:r>
              <w:rPr>
                <w:rFonts w:ascii="Arial" w:cs="Arial" w:eastAsia="Arial" w:hAnsi="Arial"/>
                <w:b w:val="false"/>
                <w:bCs w:val="false"/>
              </w:rPr>
              <w:t xml:space="preserve">S1</w:t>
            </w:r>
          </w:p>
        </w:tc>
      </w:tr>
      <w:tr>
        <w:tc>
          <w:p>
            <w:r>
              <w:rPr>
                <w:rFonts w:ascii="Arial" w:cs="Arial" w:eastAsia="Arial" w:hAnsi="Arial"/>
                <w:b w:val="false"/>
                <w:bCs w:val="false"/>
              </w:rPr>
              <w:t xml:space="preserve">Respondents wanting later support</w:t>
            </w:r>
          </w:p>
        </w:tc>
        <w:tc>
          <w:p>
            <w:r>
              <w:rPr>
                <w:rFonts w:ascii="Arial" w:cs="Arial" w:eastAsia="Arial" w:hAnsi="Arial"/>
                <w:b w:val="false"/>
                <w:bCs w:val="false"/>
              </w:rPr>
              <w:t xml:space="preserve">12 of 40</w:t>
            </w:r>
          </w:p>
        </w:tc>
        <w:tc>
          <w:p>
            <w:r>
              <w:rPr>
                <w:rFonts w:ascii="Arial" w:cs="Arial" w:eastAsia="Arial" w:hAnsi="Arial"/>
                <w:b w:val="false"/>
                <w:bCs w:val="false"/>
              </w:rPr>
              <w:t xml:space="preserve">S2</w:t>
            </w:r>
          </w:p>
        </w:tc>
      </w:tr>
      <w:tr>
        <w:tc>
          <w:p>
            <w:r>
              <w:rPr>
                <w:rFonts w:ascii="Arial" w:cs="Arial" w:eastAsia="Arial" w:hAnsi="Arial"/>
                <w:b w:val="false"/>
                <w:bCs w:val="false"/>
              </w:rPr>
              <w:t xml:space="preserve">Respondents satisfied with current window</w:t>
            </w:r>
          </w:p>
        </w:tc>
        <w:tc>
          <w:p>
            <w:r>
              <w:rPr>
                <w:rFonts w:ascii="Arial" w:cs="Arial" w:eastAsia="Arial" w:hAnsi="Arial"/>
                <w:b w:val="false"/>
                <w:bCs w:val="false"/>
              </w:rPr>
              <w:t xml:space="preserve">6 of 40</w:t>
            </w:r>
          </w:p>
        </w:tc>
        <w:tc>
          <w:p>
            <w:r>
              <w:rPr>
                <w:rFonts w:ascii="Arial" w:cs="Arial" w:eastAsia="Arial" w:hAnsi="Arial"/>
                <w:b w:val="false"/>
                <w:bCs w:val="false"/>
              </w:rPr>
              <w:t xml:space="preserve">S2</w:t>
            </w:r>
          </w:p>
        </w:tc>
      </w:tr>
      <w:tr>
        <w:tc>
          <w:p>
            <w:r>
              <w:rPr>
                <w:rFonts w:ascii="Arial" w:cs="Arial" w:eastAsia="Arial" w:hAnsi="Arial"/>
                <w:b w:val="false"/>
                <w:bCs w:val="false"/>
              </w:rPr>
              <w:t xml:space="preserve">Four-week pilot cost</w:t>
            </w:r>
          </w:p>
        </w:tc>
        <w:tc>
          <w:p>
            <w:r>
              <w:rPr>
                <w:rFonts w:ascii="Arial" w:cs="Arial" w:eastAsia="Arial" w:hAnsi="Arial"/>
                <w:b w:val="false"/>
                <w:bCs w:val="false"/>
              </w:rPr>
              <w:t xml:space="preserve">USD 1,440</w:t>
            </w:r>
          </w:p>
        </w:tc>
        <w:tc>
          <w:p>
            <w:r>
              <w:rPr>
                <w:rFonts w:ascii="Arial" w:cs="Arial" w:eastAsia="Arial" w:hAnsi="Arial"/>
                <w:b w:val="false"/>
                <w:bCs w:val="false"/>
              </w:rPr>
              <w:t xml:space="preserve">S3</w:t>
            </w:r>
          </w:p>
        </w:tc>
      </w:tr>
    </w:tbl>
    <w:p>
      <w:pPr>
        <w:pStyle w:val="Heading1"/>
      </w:pPr>
      <w:r>
        <w:t xml:space="preserve">Sources</w:t>
      </w:r>
    </w:p>
    <w:p>
      <w:r>
        <w:rPr>
          <w:rFonts w:ascii="Arial" w:cs="Arial" w:eastAsia="Arial" w:hAnsi="Arial"/>
          <w:color w:val="303030"/>
        </w:rPr>
        <w:t xml:space="preserve">S1 — AtlasNote Chile beta support-ticket export — https://atlasnote.example.test/evidence/support-tickets-july-2026</w:t>
      </w:r>
    </w:p>
    <w:p>
      <w:r>
        <w:rPr>
          <w:rFonts w:ascii="Arial" w:cs="Arial" w:eastAsia="Arial" w:hAnsi="Arial"/>
          <w:color w:val="303030"/>
        </w:rPr>
        <w:t xml:space="preserve">S2 — AtlasNote Chile beta customer pulse — https://atlasnote.example.test/evidence/customer-pulse-july-2026</w:t>
      </w:r>
    </w:p>
    <w:p>
      <w:r>
        <w:rPr>
          <w:rFonts w:ascii="Arial" w:cs="Arial" w:eastAsia="Arial" w:hAnsi="Arial"/>
          <w:color w:val="303030"/>
        </w:rPr>
        <w:t xml:space="preserve">S3 — Four-week late-shift staffing estimate — https://atlasnote.example.test/evidence/late-shift-cost-v1</w:t>
      </w:r>
    </w:p>
    <w:p>
      <w:pPr>
        <w:pStyle w:val="Heading1"/>
      </w:pPr>
      <w:r>
        <w:t xml:space="preserve">Limitations</w:t>
      </w:r>
    </w:p>
    <w:p>
      <w:pPr>
        <w:pStyle w:val="ListParagraph"/>
        <w:numPr>
          <w:ilvl w:val="0"/>
          <w:numId w:val="1"/>
        </w:numPr>
      </w:pPr>
      <w:r>
        <w:t xml:space="preserve">Evidence is limited to the three supplied synthetic sources; no external validation was performed.</w:t>
      </w:r>
    </w:p>
    <w:p>
      <w:pPr>
        <w:pStyle w:val="ListParagraph"/>
        <w:numPr>
          <w:ilvl w:val="0"/>
          <w:numId w:val="1"/>
        </w:numPr>
      </w:pPr>
      <w:r>
        <w:t xml:space="preserve">The support-ticket data does not specify how many unique accounts submitted the 31 late tickets beyond the 11 accounts that contributed 24 tickets.</w:t>
      </w:r>
    </w:p>
    <w:p>
      <w:pPr>
        <w:pStyle w:val="ListParagraph"/>
        <w:numPr>
          <w:ilvl w:val="0"/>
          <w:numId w:val="1"/>
        </w:numPr>
      </w:pPr>
      <w:r>
        <w:t xml:space="preserve">The customer pulse response rate was 40 of 65 accounts (62%), which may not represent all beta users.</w:t>
      </w:r>
    </w:p>
    <w:p>
      <w:pPr>
        <w:pStyle w:val="ListParagraph"/>
        <w:numPr>
          <w:ilvl w:val="0"/>
          <w:numId w:val="1"/>
        </w:numPr>
      </w:pPr>
      <w:r>
        <w:t xml:space="preserve">The staffing estimate is a single figure with no sensitivity analysis or breakdown of labor costs.</w:t>
      </w:r>
    </w:p>
    <w:p>
      <w:pPr>
        <w:pStyle w:val="ListParagraph"/>
        <w:numPr>
          <w:ilvl w:val="0"/>
          <w:numId w:val="1"/>
        </w:numPr>
      </w:pPr>
      <w:r>
        <w:t xml:space="preserve">The evidence does not quantify the potential benefit of reduced response time or its impact on customer retention.</w:t>
      </w:r>
    </w:p>
    <w:p>
      <w:pPr>
        <w:pStyle w:val="ListParagraph"/>
        <w:numPr>
          <w:ilvl w:val="0"/>
          <w:numId w:val="1"/>
        </w:numPr>
      </w:pPr>
      <w:r>
        <w:t xml:space="preserve">The pilot cost excludes weekend coverage, which may be relevant if demand extends beyond weekdays.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0303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Cited research brief</dc:title>
  <dc:creator>Outcome evaluation harness</dc:creator>
  <dc:description>Programmatically rendered evaluation artifact for cited-research-brief</dc:description>
  <cp:lastModifiedBy>Un-named</cp:lastModifiedBy>
  <cp:revision>1</cp:revision>
  <dcterms:created xsi:type="dcterms:W3CDTF">2026-08-04T07:32:18.478Z</dcterms:created>
  <dcterms:modified xsi:type="dcterms:W3CDTF">2026-08-04T07:32:18.478Z</dcterms:modified>
</cp:coreProperties>
</file>

<file path=docProps/custom.xml><?xml version="1.0" encoding="utf-8"?>
<Properties xmlns="http://schemas.openxmlformats.org/officeDocument/2006/custom-properties" xmlns:vt="http://schemas.openxmlformats.org/officeDocument/2006/docPropsVTypes"/>
</file>