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Source Sans 3" w:cs="Source Sans 3" w:eastAsia="Source Sans 3" w:hAnsi="Source Sans 3"/>
          <w:b/>
          <w:bCs/>
          <w:color w:val="C93F32"/>
        </w:rPr>
        <w:t xml:space="preserve">Branded market report</w:t>
      </w:r>
    </w:p>
    <w:p>
      <w:pPr>
        <w:pStyle w:val="Heading1"/>
      </w:pPr>
      <w:r>
        <w:rPr>
          <w:rFonts w:ascii="Source Sans 3" w:cs="Source Sans 3" w:eastAsia="Source Sans 3" w:hAnsi="Source Sans 3"/>
          <w:b/>
          <w:bCs/>
          <w:color w:val="C93F32"/>
        </w:rPr>
        <w:t xml:space="preserve">Executive summary</w:t>
      </w:r>
    </w:p>
    <w:p>
      <w:r>
        <w:rPr>
          <w:rFonts w:ascii="Source Sans 3" w:cs="Source Sans 3" w:eastAsia="Source Sans 3" w:hAnsi="Source Sans 3"/>
          <w:color w:val="303030"/>
        </w:rPr>
        <w:t xml:space="preserve">This report evaluates whether MealTrail should run a 12-week reusable-box pilot in three Santiago communes (Providencia, Ñuñoa, and Santiago Centro). Based on a customer survey, 156 of 240 respondents expressed willingness to try a deposit-backed reusable box, indicating meaningful demand. The estimated pilot cost is USD 18,500 for 1,000 boxes, with assumptions of 6 rotations per box, an 82% return rate, and USD 1.15 cleaning cost per returned box. Competitive activity includes three meal-delivery brands advertising reusable-container pilots in Santiago in H1 2026, with two using refundable deposits and one using a subscription add-on. The decision is to proceed with the pilot, but with careful monitoring of return rates and cost assumptions, as the evidence does not include retention or profitability data from competitors.</w:t>
      </w:r>
    </w:p>
    <w:p>
      <w:pPr>
        <w:pStyle w:val="Heading1"/>
      </w:pPr>
      <w:r>
        <w:rPr>
          <w:rFonts w:ascii="Source Sans 3" w:cs="Source Sans 3" w:eastAsia="Source Sans 3" w:hAnsi="Source Sans 3"/>
          <w:b/>
          <w:bCs/>
          <w:color w:val="C93F32"/>
        </w:rPr>
        <w:t xml:space="preserve">Market definition</w:t>
      </w:r>
    </w:p>
    <w:p>
      <w:r>
        <w:rPr>
          <w:rFonts w:ascii="Source Sans 3" w:cs="Source Sans 3" w:eastAsia="Source Sans 3" w:hAnsi="Source Sans 3"/>
          <w:color w:val="303030"/>
        </w:rPr>
        <w:t xml:space="preserve">The market for reusable delivery packaging in meal-kit services in Santiago, Chile, encompasses the provision of durable, returnable containers for meal-kit deliveries, aimed at reducing single-use packaging waste. This market is defined by the three communes targeted in the pilot: Providencia, Ñuñoa, and Santiago Centro. The product includes deposit-backed reusable boxes, which require customers to pay a refundable deposit, and subscription-based reusable containers. The market is currently nascent, with limited public data on adoption and profitability, as evidenced by the Fictional Circular Commerce Observatory report.</w:t>
      </w:r>
    </w:p>
    <w:p>
      <w:pPr>
        <w:pStyle w:val="IntenseQuote"/>
      </w:pPr>
      <w:r>
        <w:rPr>
          <w:rFonts w:ascii="Source Sans 3" w:cs="Source Sans 3" w:eastAsia="Source Sans 3" w:hAnsi="Source Sans 3"/>
          <w:i/>
          <w:iCs/>
          <w:color w:val="666666"/>
        </w:rPr>
        <w:t xml:space="preserve">Sources: S1, S3</w:t>
      </w:r>
    </w:p>
    <w:p>
      <w:pPr>
        <w:pStyle w:val="Heading1"/>
      </w:pPr>
      <w:r>
        <w:rPr>
          <w:rFonts w:ascii="Source Sans 3" w:cs="Source Sans 3" w:eastAsia="Source Sans 3" w:hAnsi="Source Sans 3"/>
          <w:b/>
          <w:bCs/>
          <w:color w:val="C93F32"/>
        </w:rPr>
        <w:t xml:space="preserve">Method</w:t>
      </w:r>
    </w:p>
    <w:p>
      <w:r>
        <w:rPr>
          <w:rFonts w:ascii="Source Sans 3" w:cs="Source Sans 3" w:eastAsia="Source Sans 3" w:hAnsi="Source Sans 3"/>
          <w:color w:val="303030"/>
        </w:rPr>
        <w:t xml:space="preserve">This report synthesizes evidence from four sources: a customer survey (S1), a cost model (S2), a competitive landscape report (S3), and a brand usage note (S4). The survey was conducted among 600 active customers, with 240 responses, covering the three target communes. The cost model provides a 12-week pilot estimate. The competitive landscape report was published by the Fictional Circular Commerce Observatory. All evidence is synthetic and provided in the closed corpus. No external data was used. The analysis focuses on demand, operating economics, competitive context, and uncertainty.</w:t>
      </w:r>
    </w:p>
    <w:p>
      <w:pPr>
        <w:pStyle w:val="IntenseQuote"/>
      </w:pPr>
      <w:r>
        <w:rPr>
          <w:rFonts w:ascii="Source Sans 3" w:cs="Source Sans 3" w:eastAsia="Source Sans 3" w:hAnsi="Source Sans 3"/>
          <w:i/>
          <w:iCs/>
          <w:color w:val="666666"/>
        </w:rPr>
        <w:t xml:space="preserve">Sources: S1, S2, S3, S4</w:t>
      </w:r>
    </w:p>
    <w:p>
      <w:pPr>
        <w:pStyle w:val="Heading1"/>
      </w:pPr>
      <w:r>
        <w:rPr>
          <w:rFonts w:ascii="Source Sans 3" w:cs="Source Sans 3" w:eastAsia="Source Sans 3" w:hAnsi="Source Sans 3"/>
          <w:b/>
          <w:bCs/>
          <w:color w:val="C93F32"/>
        </w:rPr>
        <w:t xml:space="preserve">Segments</w:t>
      </w:r>
    </w:p>
    <w:p>
      <w:r>
        <w:rPr>
          <w:rFonts w:ascii="Source Sans 3" w:cs="Source Sans 3" w:eastAsia="Source Sans 3" w:hAnsi="Source Sans 3"/>
          <w:color w:val="303030"/>
        </w:rPr>
        <w:t xml:space="preserve">Customer segments are based on survey responses: 156 respondents (65% of respondents) indicated willingness to try a deposit-backed reusable box, 48 (20%) would not, and 36 (15%) were unsure. These segments are geographically distributed across Providencia, Ñuñoa, and Santiago Centro. The pilot would target the willing segment, with a focus on understanding conversion and return behavior. The cost model assumes a 1,000-box pilot, which would serve a subset of the willing customers.</w:t>
      </w:r>
    </w:p>
    <w:p>
      <w:pPr>
        <w:pStyle w:val="IntenseQuote"/>
      </w:pPr>
      <w:r>
        <w:rPr>
          <w:rFonts w:ascii="Source Sans 3" w:cs="Source Sans 3" w:eastAsia="Source Sans 3" w:hAnsi="Source Sans 3"/>
          <w:i/>
          <w:iCs/>
          <w:color w:val="666666"/>
        </w:rPr>
        <w:t xml:space="preserve">Sources: S1, S2</w:t>
      </w:r>
    </w:p>
    <w:p>
      <w:pPr>
        <w:pStyle w:val="Heading1"/>
      </w:pPr>
      <w:r>
        <w:rPr>
          <w:rFonts w:ascii="Source Sans 3" w:cs="Source Sans 3" w:eastAsia="Source Sans 3" w:hAnsi="Source Sans 3"/>
          <w:b/>
          <w:bCs/>
          <w:color w:val="C93F32"/>
        </w:rPr>
        <w:t xml:space="preserve">Demand and trends</w:t>
      </w:r>
    </w:p>
    <w:p>
      <w:r>
        <w:rPr>
          <w:rFonts w:ascii="Source Sans 3" w:cs="Source Sans 3" w:eastAsia="Source Sans 3" w:hAnsi="Source Sans 3"/>
          <w:color w:val="303030"/>
        </w:rPr>
        <w:t xml:space="preserve">Demand for reusable packaging is indicated by the survey: 156 of 240 respondents (65%) expressed willingness to try a deposit-backed reusable box. This suggests a strong initial interest. Trends in the market include the emergence of reusable-container pilots by three meal-delivery brands in Santiago during H1 2026, with two using refundable deposits and one using a subscription add-on. However, the source does not report retention or profitability, indicating uncertainty about long-term demand sustainability.</w:t>
      </w:r>
    </w:p>
    <w:p>
      <w:pPr>
        <w:pStyle w:val="IntenseQuote"/>
      </w:pPr>
      <w:r>
        <w:rPr>
          <w:rFonts w:ascii="Source Sans 3" w:cs="Source Sans 3" w:eastAsia="Source Sans 3" w:hAnsi="Source Sans 3"/>
          <w:i/>
          <w:iCs/>
          <w:color w:val="666666"/>
        </w:rPr>
        <w:t xml:space="preserve">Sources: S1, S3</w:t>
      </w:r>
    </w:p>
    <w:p>
      <w:pPr>
        <w:pStyle w:val="Heading1"/>
      </w:pPr>
      <w:r>
        <w:rPr>
          <w:rFonts w:ascii="Source Sans 3" w:cs="Source Sans 3" w:eastAsia="Source Sans 3" w:hAnsi="Source Sans 3"/>
          <w:b/>
          <w:bCs/>
          <w:color w:val="C93F32"/>
        </w:rPr>
        <w:t xml:space="preserve">Competitive landscape</w:t>
      </w:r>
    </w:p>
    <w:p>
      <w:r>
        <w:rPr>
          <w:rFonts w:ascii="Source Sans 3" w:cs="Source Sans 3" w:eastAsia="Source Sans 3" w:hAnsi="Source Sans 3"/>
          <w:color w:val="303030"/>
        </w:rPr>
        <w:t xml:space="preserve">The competitive landscape includes three meal-delivery brands that publicly advertised reusable-container pilots in Santiago during the first half of 2026. Two of these used refundable deposits, and one used a subscription add-on. The Fictional Circular Commerce Observatory report does not provide data on retention or profitability, so the competitive impact is uncertain. MealTrail's pilot would enter a market with active experimentation, but without clear evidence of success.</w:t>
      </w:r>
    </w:p>
    <w:p>
      <w:pPr>
        <w:pStyle w:val="IntenseQuote"/>
      </w:pPr>
      <w:r>
        <w:rPr>
          <w:rFonts w:ascii="Source Sans 3" w:cs="Source Sans 3" w:eastAsia="Source Sans 3" w:hAnsi="Source Sans 3"/>
          <w:i/>
          <w:iCs/>
          <w:color w:val="666666"/>
        </w:rPr>
        <w:t xml:space="preserve">Sources: S3</w:t>
      </w:r>
    </w:p>
    <w:p>
      <w:pPr>
        <w:pStyle w:val="Heading1"/>
      </w:pPr>
      <w:r>
        <w:rPr>
          <w:rFonts w:ascii="Source Sans 3" w:cs="Source Sans 3" w:eastAsia="Source Sans 3" w:hAnsi="Source Sans 3"/>
          <w:b/>
          <w:bCs/>
          <w:color w:val="C93F32"/>
        </w:rPr>
        <w:t xml:space="preserve">Charts</w:t>
      </w:r>
    </w:p>
    <w:p>
      <w:r>
        <w:rPr>
          <w:rFonts w:ascii="Source Sans 3" w:cs="Source Sans 3" w:eastAsia="Source Sans 3" w:hAnsi="Source Sans 3"/>
          <w:color w:val="303030"/>
        </w:rPr>
        <w:t xml:space="preserve">Chart-ready values are provided in the tables section. Table 1 shows survey response distribution, and Table 2 shows pilot cost assumptions. These tables contain the data for charts, such as a bar chart of survey responses and a cost breakdown.</w:t>
      </w:r>
    </w:p>
    <w:p>
      <w:pPr>
        <w:pStyle w:val="IntenseQuote"/>
      </w:pPr>
      <w:r>
        <w:rPr>
          <w:rFonts w:ascii="Source Sans 3" w:cs="Source Sans 3" w:eastAsia="Source Sans 3" w:hAnsi="Source Sans 3"/>
          <w:i/>
          <w:iCs/>
          <w:color w:val="666666"/>
        </w:rPr>
        <w:t xml:space="preserve">Sources: S1, S2</w:t>
      </w:r>
    </w:p>
    <w:p>
      <w:pPr>
        <w:pStyle w:val="Heading1"/>
      </w:pPr>
      <w:r>
        <w:rPr>
          <w:rFonts w:ascii="Source Sans 3" w:cs="Source Sans 3" w:eastAsia="Source Sans 3" w:hAnsi="Source Sans 3"/>
          <w:b/>
          <w:bCs/>
          <w:color w:val="C93F32"/>
        </w:rPr>
        <w:t xml:space="preserve">Decision implications</w:t>
      </w:r>
    </w:p>
    <w:p>
      <w:r>
        <w:rPr>
          <w:rFonts w:ascii="Source Sans 3" w:cs="Source Sans 3" w:eastAsia="Source Sans 3" w:hAnsi="Source Sans 3"/>
          <w:color w:val="303030"/>
        </w:rPr>
        <w:t xml:space="preserve">The evidence supports proceeding with the 12-week reusable-box pilot in the three communes. Demand is present (65% willingness), and the cost is estimated at USD 18,500. However, the pilot should include clear metrics for return rate and cleaning costs, as the model assumes 82% return and USD 1.15 per return. Competitive activity suggests market interest, but without retention data, the pilot should be treated as a learning experiment. The brand usage note authorizes use of MealTrail's name and assets for this internal report only.</w:t>
      </w:r>
    </w:p>
    <w:p>
      <w:pPr>
        <w:pStyle w:val="IntenseQuote"/>
      </w:pPr>
      <w:r>
        <w:rPr>
          <w:rFonts w:ascii="Source Sans 3" w:cs="Source Sans 3" w:eastAsia="Source Sans 3" w:hAnsi="Source Sans 3"/>
          <w:i/>
          <w:iCs/>
          <w:color w:val="666666"/>
        </w:rPr>
        <w:t xml:space="preserve">Sources: S1, S2, S3, S4</w:t>
      </w:r>
    </w:p>
    <w:p>
      <w:pPr>
        <w:pStyle w:val="Heading2"/>
      </w:pPr>
      <w:r>
        <w:rPr>
          <w:rFonts w:ascii="Source Sans 3" w:cs="Source Sans 3" w:eastAsia="Source Sans 3" w:hAnsi="Source Sans 3"/>
          <w:b/>
          <w:bCs/>
          <w:color w:val="C93F32"/>
        </w:rPr>
        <w:t xml:space="preserve">Survey response distribution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rFonts w:ascii="Source Sans 3" w:cs="Source Sans 3" w:eastAsia="Source Sans 3" w:hAnsi="Source Sans 3"/>
                <w:b/>
                <w:bCs/>
              </w:rPr>
              <w:t xml:space="preserve">segment</w:t>
            </w:r>
          </w:p>
        </w:tc>
        <w:tc>
          <w:p>
            <w:r>
              <w:rPr>
                <w:rFonts w:ascii="Source Sans 3" w:cs="Source Sans 3" w:eastAsia="Source Sans 3" w:hAnsi="Source Sans 3"/>
                <w:b/>
                <w:bCs/>
              </w:rPr>
              <w:t xml:space="preserve">metric</w:t>
            </w:r>
          </w:p>
        </w:tc>
        <w:tc>
          <w:p>
            <w:r>
              <w:rPr>
                <w:rFonts w:ascii="Source Sans 3" w:cs="Source Sans 3" w:eastAsia="Source Sans 3" w:hAnsi="Source Sans 3"/>
                <w:b/>
                <w:bCs/>
              </w:rPr>
              <w:t xml:space="preserve">value</w:t>
            </w:r>
          </w:p>
        </w:tc>
        <w:tc>
          <w:p>
            <w:r>
              <w:rPr>
                <w:rFonts w:ascii="Source Sans 3" w:cs="Source Sans 3" w:eastAsia="Source Sans 3" w:hAnsi="Source Sans 3"/>
                <w:b/>
                <w:bCs/>
              </w:rPr>
              <w:t xml:space="preserve">source</w:t>
            </w:r>
          </w:p>
        </w:tc>
      </w:tr>
      <w:tr>
        <w:tc>
          <w:p>
            <w:r>
              <w:rPr>
                <w:rFonts w:ascii="Source Sans 3" w:cs="Source Sans 3" w:eastAsia="Source Sans 3" w:hAnsi="Source Sans 3"/>
                <w:b w:val="false"/>
                <w:bCs w:val="false"/>
              </w:rPr>
              <w:t xml:space="preserve">Willing to try</w:t>
            </w:r>
          </w:p>
        </w:tc>
        <w:tc>
          <w:p>
            <w:r>
              <w:rPr>
                <w:rFonts w:ascii="Source Sans 3" w:cs="Source Sans 3" w:eastAsia="Source Sans 3" w:hAnsi="Source Sans 3"/>
                <w:b w:val="false"/>
                <w:bCs w:val="false"/>
              </w:rPr>
              <w:t xml:space="preserve">count</w:t>
            </w:r>
          </w:p>
        </w:tc>
        <w:tc>
          <w:p>
            <w:r>
              <w:rPr>
                <w:rFonts w:ascii="Source Sans 3" w:cs="Source Sans 3" w:eastAsia="Source Sans 3" w:hAnsi="Source Sans 3"/>
                <w:b w:val="false"/>
                <w:bCs w:val="false"/>
              </w:rPr>
              <w:t xml:space="preserve">156</w:t>
            </w:r>
          </w:p>
        </w:tc>
        <w:tc>
          <w:p>
            <w:r>
              <w:rPr>
                <w:rFonts w:ascii="Source Sans 3" w:cs="Source Sans 3" w:eastAsia="Source Sans 3" w:hAnsi="Source Sans 3"/>
                <w:b w:val="false"/>
                <w:bCs w:val="false"/>
              </w:rPr>
              <w:t xml:space="preserve">S1</w:t>
            </w:r>
          </w:p>
        </w:tc>
      </w:tr>
      <w:tr>
        <w:tc>
          <w:p>
            <w:r>
              <w:rPr>
                <w:rFonts w:ascii="Source Sans 3" w:cs="Source Sans 3" w:eastAsia="Source Sans 3" w:hAnsi="Source Sans 3"/>
                <w:b w:val="false"/>
                <w:bCs w:val="false"/>
              </w:rPr>
              <w:t xml:space="preserve">Not willing</w:t>
            </w:r>
          </w:p>
        </w:tc>
        <w:tc>
          <w:p>
            <w:r>
              <w:rPr>
                <w:rFonts w:ascii="Source Sans 3" w:cs="Source Sans 3" w:eastAsia="Source Sans 3" w:hAnsi="Source Sans 3"/>
                <w:b w:val="false"/>
                <w:bCs w:val="false"/>
              </w:rPr>
              <w:t xml:space="preserve">count</w:t>
            </w:r>
          </w:p>
        </w:tc>
        <w:tc>
          <w:p>
            <w:r>
              <w:rPr>
                <w:rFonts w:ascii="Source Sans 3" w:cs="Source Sans 3" w:eastAsia="Source Sans 3" w:hAnsi="Source Sans 3"/>
                <w:b w:val="false"/>
                <w:bCs w:val="false"/>
              </w:rPr>
              <w:t xml:space="preserve">48</w:t>
            </w:r>
          </w:p>
        </w:tc>
        <w:tc>
          <w:p>
            <w:r>
              <w:rPr>
                <w:rFonts w:ascii="Source Sans 3" w:cs="Source Sans 3" w:eastAsia="Source Sans 3" w:hAnsi="Source Sans 3"/>
                <w:b w:val="false"/>
                <w:bCs w:val="false"/>
              </w:rPr>
              <w:t xml:space="preserve">S1</w:t>
            </w:r>
          </w:p>
        </w:tc>
      </w:tr>
      <w:tr>
        <w:tc>
          <w:p>
            <w:r>
              <w:rPr>
                <w:rFonts w:ascii="Source Sans 3" w:cs="Source Sans 3" w:eastAsia="Source Sans 3" w:hAnsi="Source Sans 3"/>
                <w:b w:val="false"/>
                <w:bCs w:val="false"/>
              </w:rPr>
              <w:t xml:space="preserve">Unsure</w:t>
            </w:r>
          </w:p>
        </w:tc>
        <w:tc>
          <w:p>
            <w:r>
              <w:rPr>
                <w:rFonts w:ascii="Source Sans 3" w:cs="Source Sans 3" w:eastAsia="Source Sans 3" w:hAnsi="Source Sans 3"/>
                <w:b w:val="false"/>
                <w:bCs w:val="false"/>
              </w:rPr>
              <w:t xml:space="preserve">count</w:t>
            </w:r>
          </w:p>
        </w:tc>
        <w:tc>
          <w:p>
            <w:r>
              <w:rPr>
                <w:rFonts w:ascii="Source Sans 3" w:cs="Source Sans 3" w:eastAsia="Source Sans 3" w:hAnsi="Source Sans 3"/>
                <w:b w:val="false"/>
                <w:bCs w:val="false"/>
              </w:rPr>
              <w:t xml:space="preserve">36</w:t>
            </w:r>
          </w:p>
        </w:tc>
        <w:tc>
          <w:p>
            <w:r>
              <w:rPr>
                <w:rFonts w:ascii="Source Sans 3" w:cs="Source Sans 3" w:eastAsia="Source Sans 3" w:hAnsi="Source Sans 3"/>
                <w:b w:val="false"/>
                <w:bCs w:val="false"/>
              </w:rPr>
              <w:t xml:space="preserve">S1</w:t>
            </w:r>
          </w:p>
        </w:tc>
      </w:tr>
      <w:tr>
        <w:tc>
          <w:p>
            <w:r>
              <w:rPr>
                <w:rFonts w:ascii="Source Sans 3" w:cs="Source Sans 3" w:eastAsia="Source Sans 3" w:hAnsi="Source Sans 3"/>
                <w:b w:val="false"/>
                <w:bCs w:val="false"/>
              </w:rPr>
              <w:t xml:space="preserve">Total respondents</w:t>
            </w:r>
          </w:p>
        </w:tc>
        <w:tc>
          <w:p>
            <w:r>
              <w:rPr>
                <w:rFonts w:ascii="Source Sans 3" w:cs="Source Sans 3" w:eastAsia="Source Sans 3" w:hAnsi="Source Sans 3"/>
                <w:b w:val="false"/>
                <w:bCs w:val="false"/>
              </w:rPr>
              <w:t xml:space="preserve">count</w:t>
            </w:r>
          </w:p>
        </w:tc>
        <w:tc>
          <w:p>
            <w:r>
              <w:rPr>
                <w:rFonts w:ascii="Source Sans 3" w:cs="Source Sans 3" w:eastAsia="Source Sans 3" w:hAnsi="Source Sans 3"/>
                <w:b w:val="false"/>
                <w:bCs w:val="false"/>
              </w:rPr>
              <w:t xml:space="preserve">240</w:t>
            </w:r>
          </w:p>
        </w:tc>
        <w:tc>
          <w:p>
            <w:r>
              <w:rPr>
                <w:rFonts w:ascii="Source Sans 3" w:cs="Source Sans 3" w:eastAsia="Source Sans 3" w:hAnsi="Source Sans 3"/>
                <w:b w:val="false"/>
                <w:bCs w:val="false"/>
              </w:rPr>
              <w:t xml:space="preserve">S1</w:t>
            </w:r>
          </w:p>
        </w:tc>
      </w:tr>
    </w:tbl>
    <w:p>
      <w:pPr>
        <w:pStyle w:val="Heading2"/>
      </w:pPr>
      <w:r>
        <w:rPr>
          <w:rFonts w:ascii="Source Sans 3" w:cs="Source Sans 3" w:eastAsia="Source Sans 3" w:hAnsi="Source Sans 3"/>
          <w:b/>
          <w:bCs/>
          <w:color w:val="C93F32"/>
        </w:rPr>
        <w:t xml:space="preserve">Pilot cost assumptions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rFonts w:ascii="Source Sans 3" w:cs="Source Sans 3" w:eastAsia="Source Sans 3" w:hAnsi="Source Sans 3"/>
                <w:b/>
                <w:bCs/>
              </w:rPr>
              <w:t xml:space="preserve">assumption</w:t>
            </w:r>
          </w:p>
        </w:tc>
        <w:tc>
          <w:p>
            <w:r>
              <w:rPr>
                <w:rFonts w:ascii="Source Sans 3" w:cs="Source Sans 3" w:eastAsia="Source Sans 3" w:hAnsi="Source Sans 3"/>
                <w:b/>
                <w:bCs/>
              </w:rPr>
              <w:t xml:space="preserve">metric</w:t>
            </w:r>
          </w:p>
        </w:tc>
        <w:tc>
          <w:p>
            <w:r>
              <w:rPr>
                <w:rFonts w:ascii="Source Sans 3" w:cs="Source Sans 3" w:eastAsia="Source Sans 3" w:hAnsi="Source Sans 3"/>
                <w:b/>
                <w:bCs/>
              </w:rPr>
              <w:t xml:space="preserve">value</w:t>
            </w:r>
          </w:p>
        </w:tc>
        <w:tc>
          <w:p>
            <w:r>
              <w:rPr>
                <w:rFonts w:ascii="Source Sans 3" w:cs="Source Sans 3" w:eastAsia="Source Sans 3" w:hAnsi="Source Sans 3"/>
                <w:b/>
                <w:bCs/>
              </w:rPr>
              <w:t xml:space="preserve">source</w:t>
            </w:r>
          </w:p>
        </w:tc>
      </w:tr>
      <w:tr>
        <w:tc>
          <w:p>
            <w:r>
              <w:rPr>
                <w:rFonts w:ascii="Source Sans 3" w:cs="Source Sans 3" w:eastAsia="Source Sans 3" w:hAnsi="Source Sans 3"/>
                <w:b w:val="false"/>
                <w:bCs w:val="false"/>
              </w:rPr>
              <w:t xml:space="preserve">Pilot duration</w:t>
            </w:r>
          </w:p>
        </w:tc>
        <w:tc>
          <w:p>
            <w:r>
              <w:rPr>
                <w:rFonts w:ascii="Source Sans 3" w:cs="Source Sans 3" w:eastAsia="Source Sans 3" w:hAnsi="Source Sans 3"/>
                <w:b w:val="false"/>
                <w:bCs w:val="false"/>
              </w:rPr>
              <w:t xml:space="preserve">weeks</w:t>
            </w:r>
          </w:p>
        </w:tc>
        <w:tc>
          <w:p>
            <w:r>
              <w:rPr>
                <w:rFonts w:ascii="Source Sans 3" w:cs="Source Sans 3" w:eastAsia="Source Sans 3" w:hAnsi="Source Sans 3"/>
                <w:b w:val="false"/>
                <w:bCs w:val="false"/>
              </w:rPr>
              <w:t xml:space="preserve">12</w:t>
            </w:r>
          </w:p>
        </w:tc>
        <w:tc>
          <w:p>
            <w:r>
              <w:rPr>
                <w:rFonts w:ascii="Source Sans 3" w:cs="Source Sans 3" w:eastAsia="Source Sans 3" w:hAnsi="Source Sans 3"/>
                <w:b w:val="false"/>
                <w:bCs w:val="false"/>
              </w:rPr>
              <w:t xml:space="preserve">S2</w:t>
            </w:r>
          </w:p>
        </w:tc>
      </w:tr>
      <w:tr>
        <w:tc>
          <w:p>
            <w:r>
              <w:rPr>
                <w:rFonts w:ascii="Source Sans 3" w:cs="Source Sans 3" w:eastAsia="Source Sans 3" w:hAnsi="Source Sans 3"/>
                <w:b w:val="false"/>
                <w:bCs w:val="false"/>
              </w:rPr>
              <w:t xml:space="preserve">Boxes</w:t>
            </w:r>
          </w:p>
        </w:tc>
        <w:tc>
          <w:p>
            <w:r>
              <w:rPr>
                <w:rFonts w:ascii="Source Sans 3" w:cs="Source Sans 3" w:eastAsia="Source Sans 3" w:hAnsi="Source Sans 3"/>
                <w:b w:val="false"/>
                <w:bCs w:val="false"/>
              </w:rPr>
              <w:t xml:space="preserve">count</w:t>
            </w:r>
          </w:p>
        </w:tc>
        <w:tc>
          <w:p>
            <w:r>
              <w:rPr>
                <w:rFonts w:ascii="Source Sans 3" w:cs="Source Sans 3" w:eastAsia="Source Sans 3" w:hAnsi="Source Sans 3"/>
                <w:b w:val="false"/>
                <w:bCs w:val="false"/>
              </w:rPr>
              <w:t xml:space="preserve">1000</w:t>
            </w:r>
          </w:p>
        </w:tc>
        <w:tc>
          <w:p>
            <w:r>
              <w:rPr>
                <w:rFonts w:ascii="Source Sans 3" w:cs="Source Sans 3" w:eastAsia="Source Sans 3" w:hAnsi="Source Sans 3"/>
                <w:b w:val="false"/>
                <w:bCs w:val="false"/>
              </w:rPr>
              <w:t xml:space="preserve">S2</w:t>
            </w:r>
          </w:p>
        </w:tc>
      </w:tr>
      <w:tr>
        <w:tc>
          <w:p>
            <w:r>
              <w:rPr>
                <w:rFonts w:ascii="Source Sans 3" w:cs="Source Sans 3" w:eastAsia="Source Sans 3" w:hAnsi="Source Sans 3"/>
                <w:b w:val="false"/>
                <w:bCs w:val="false"/>
              </w:rPr>
              <w:t xml:space="preserve">Total cost</w:t>
            </w:r>
          </w:p>
        </w:tc>
        <w:tc>
          <w:p>
            <w:r>
              <w:rPr>
                <w:rFonts w:ascii="Source Sans 3" w:cs="Source Sans 3" w:eastAsia="Source Sans 3" w:hAnsi="Source Sans 3"/>
                <w:b w:val="false"/>
                <w:bCs w:val="false"/>
              </w:rPr>
              <w:t xml:space="preserve">USD</w:t>
            </w:r>
          </w:p>
        </w:tc>
        <w:tc>
          <w:p>
            <w:r>
              <w:rPr>
                <w:rFonts w:ascii="Source Sans 3" w:cs="Source Sans 3" w:eastAsia="Source Sans 3" w:hAnsi="Source Sans 3"/>
                <w:b w:val="false"/>
                <w:bCs w:val="false"/>
              </w:rPr>
              <w:t xml:space="preserve">18500</w:t>
            </w:r>
          </w:p>
        </w:tc>
        <w:tc>
          <w:p>
            <w:r>
              <w:rPr>
                <w:rFonts w:ascii="Source Sans 3" w:cs="Source Sans 3" w:eastAsia="Source Sans 3" w:hAnsi="Source Sans 3"/>
                <w:b w:val="false"/>
                <w:bCs w:val="false"/>
              </w:rPr>
              <w:t xml:space="preserve">S2</w:t>
            </w:r>
          </w:p>
        </w:tc>
      </w:tr>
      <w:tr>
        <w:tc>
          <w:p>
            <w:r>
              <w:rPr>
                <w:rFonts w:ascii="Source Sans 3" w:cs="Source Sans 3" w:eastAsia="Source Sans 3" w:hAnsi="Source Sans 3"/>
                <w:b w:val="false"/>
                <w:bCs w:val="false"/>
              </w:rPr>
              <w:t xml:space="preserve">Rotations per box</w:t>
            </w:r>
          </w:p>
        </w:tc>
        <w:tc>
          <w:p>
            <w:r>
              <w:rPr>
                <w:rFonts w:ascii="Source Sans 3" w:cs="Source Sans 3" w:eastAsia="Source Sans 3" w:hAnsi="Source Sans 3"/>
                <w:b w:val="false"/>
                <w:bCs w:val="false"/>
              </w:rPr>
              <w:t xml:space="preserve">count</w:t>
            </w:r>
          </w:p>
        </w:tc>
        <w:tc>
          <w:p>
            <w:r>
              <w:rPr>
                <w:rFonts w:ascii="Source Sans 3" w:cs="Source Sans 3" w:eastAsia="Source Sans 3" w:hAnsi="Source Sans 3"/>
                <w:b w:val="false"/>
                <w:bCs w:val="false"/>
              </w:rPr>
              <w:t xml:space="preserve">6</w:t>
            </w:r>
          </w:p>
        </w:tc>
        <w:tc>
          <w:p>
            <w:r>
              <w:rPr>
                <w:rFonts w:ascii="Source Sans 3" w:cs="Source Sans 3" w:eastAsia="Source Sans 3" w:hAnsi="Source Sans 3"/>
                <w:b w:val="false"/>
                <w:bCs w:val="false"/>
              </w:rPr>
              <w:t xml:space="preserve">S2</w:t>
            </w:r>
          </w:p>
        </w:tc>
      </w:tr>
      <w:tr>
        <w:tc>
          <w:p>
            <w:r>
              <w:rPr>
                <w:rFonts w:ascii="Source Sans 3" w:cs="Source Sans 3" w:eastAsia="Source Sans 3" w:hAnsi="Source Sans 3"/>
                <w:b w:val="false"/>
                <w:bCs w:val="false"/>
              </w:rPr>
              <w:t xml:space="preserve">Return rate</w:t>
            </w:r>
          </w:p>
        </w:tc>
        <w:tc>
          <w:p>
            <w:r>
              <w:rPr>
                <w:rFonts w:ascii="Source Sans 3" w:cs="Source Sans 3" w:eastAsia="Source Sans 3" w:hAnsi="Source Sans 3"/>
                <w:b w:val="false"/>
                <w:bCs w:val="false"/>
              </w:rPr>
              <w:t xml:space="preserve">percent</w:t>
            </w:r>
          </w:p>
        </w:tc>
        <w:tc>
          <w:p>
            <w:r>
              <w:rPr>
                <w:rFonts w:ascii="Source Sans 3" w:cs="Source Sans 3" w:eastAsia="Source Sans 3" w:hAnsi="Source Sans 3"/>
                <w:b w:val="false"/>
                <w:bCs w:val="false"/>
              </w:rPr>
              <w:t xml:space="preserve">82</w:t>
            </w:r>
          </w:p>
        </w:tc>
        <w:tc>
          <w:p>
            <w:r>
              <w:rPr>
                <w:rFonts w:ascii="Source Sans 3" w:cs="Source Sans 3" w:eastAsia="Source Sans 3" w:hAnsi="Source Sans 3"/>
                <w:b w:val="false"/>
                <w:bCs w:val="false"/>
              </w:rPr>
              <w:t xml:space="preserve">S2</w:t>
            </w:r>
          </w:p>
        </w:tc>
      </w:tr>
      <w:tr>
        <w:tc>
          <w:p>
            <w:r>
              <w:rPr>
                <w:rFonts w:ascii="Source Sans 3" w:cs="Source Sans 3" w:eastAsia="Source Sans 3" w:hAnsi="Source Sans 3"/>
                <w:b w:val="false"/>
                <w:bCs w:val="false"/>
              </w:rPr>
              <w:t xml:space="preserve">Cleaning cost per return</w:t>
            </w:r>
          </w:p>
        </w:tc>
        <w:tc>
          <w:p>
            <w:r>
              <w:rPr>
                <w:rFonts w:ascii="Source Sans 3" w:cs="Source Sans 3" w:eastAsia="Source Sans 3" w:hAnsi="Source Sans 3"/>
                <w:b w:val="false"/>
                <w:bCs w:val="false"/>
              </w:rPr>
              <w:t xml:space="preserve">USD</w:t>
            </w:r>
          </w:p>
        </w:tc>
        <w:tc>
          <w:p>
            <w:r>
              <w:rPr>
                <w:rFonts w:ascii="Source Sans 3" w:cs="Source Sans 3" w:eastAsia="Source Sans 3" w:hAnsi="Source Sans 3"/>
                <w:b w:val="false"/>
                <w:bCs w:val="false"/>
              </w:rPr>
              <w:t xml:space="preserve">1.15</w:t>
            </w:r>
          </w:p>
        </w:tc>
        <w:tc>
          <w:p>
            <w:r>
              <w:rPr>
                <w:rFonts w:ascii="Source Sans 3" w:cs="Source Sans 3" w:eastAsia="Source Sans 3" w:hAnsi="Source Sans 3"/>
                <w:b w:val="false"/>
                <w:bCs w:val="false"/>
              </w:rPr>
              <w:t xml:space="preserve">S2</w:t>
            </w:r>
          </w:p>
        </w:tc>
      </w:tr>
    </w:tbl>
    <w:p>
      <w:pPr>
        <w:pStyle w:val="Heading1"/>
        <w:pageBreakBefore/>
      </w:pPr>
      <w:r>
        <w:t xml:space="preserve">Visual evidence</w:t>
      </w:r>
    </w:p>
    <w:p>
      <w:pPr>
        <w:pStyle w:val="Heading2"/>
      </w:pPr>
      <w:r>
        <w:t xml:space="preserve">Data chart: Survey response distribution</w:t>
      </w:r>
    </w:p>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214688"/>
                    </a:xfrm>
                    <a:prstGeom prst="rect">
                      <a:avLst/>
                    </a:prstGeom>
                  </pic:spPr>
                </pic:pic>
              </a:graphicData>
            </a:graphic>
          </wp:inline>
        </w:drawing>
      </w:r>
    </w:p>
    <w:p>
      <w:r>
        <w:rPr>
          <w:rFonts w:ascii="Source Sans 3" w:cs="Source Sans 3" w:eastAsia="Source Sans 3" w:hAnsi="Source Sans 3"/>
          <w:i/>
          <w:iCs/>
          <w:color w:val="666666"/>
        </w:rPr>
        <w:t xml:space="preserve">Data chart rendered from canonical table values - not a website screenshot.</w:t>
      </w:r>
    </w:p>
    <w:p>
      <w:pPr>
        <w:pStyle w:val="Heading1"/>
        <w:pageBreakBefore/>
      </w:pPr>
      <w:r>
        <w:t xml:space="preserve">Sources</w:t>
      </w:r>
    </w:p>
    <w:p>
      <w:r>
        <w:rPr>
          <w:rFonts w:ascii="Source Sans 3" w:cs="Source Sans 3" w:eastAsia="Source Sans 3" w:hAnsi="Source Sans 3"/>
          <w:color w:val="303030"/>
        </w:rPr>
        <w:t xml:space="preserve">S1 — MealTrail customer packaging survey — https://mealtrail.example.test/evidence/packaging-survey</w:t>
      </w:r>
    </w:p>
    <w:p>
      <w:r>
        <w:rPr>
          <w:rFonts w:ascii="Source Sans 3" w:cs="Source Sans 3" w:eastAsia="Source Sans 3" w:hAnsi="Source Sans 3"/>
          <w:color w:val="303030"/>
        </w:rPr>
        <w:t xml:space="preserve">S2 — Reusable-box pilot cost model — https://mealtrail.example.test/evidence/pilot-costs</w:t>
      </w:r>
    </w:p>
    <w:p>
      <w:r>
        <w:rPr>
          <w:rFonts w:ascii="Source Sans 3" w:cs="Source Sans 3" w:eastAsia="Source Sans 3" w:hAnsi="Source Sans 3"/>
          <w:color w:val="303030"/>
        </w:rPr>
        <w:t xml:space="preserve">S3 — Santiago reusable delivery landscape — https://circular-observatory.example.test/reports/santiago-2026</w:t>
      </w:r>
    </w:p>
    <w:p>
      <w:r>
        <w:rPr>
          <w:rFonts w:ascii="Source Sans 3" w:cs="Source Sans 3" w:eastAsia="Source Sans 3" w:hAnsi="Source Sans 3"/>
          <w:color w:val="303030"/>
        </w:rPr>
        <w:t xml:space="preserve">S4 — MealTrail brand usage note — https://mealtrail.example.test/brand/authorized-use</w:t>
      </w:r>
    </w:p>
    <w:p>
      <w:pPr>
        <w:pStyle w:val="Heading1"/>
      </w:pPr>
      <w:r>
        <w:t xml:space="preserve">Limitations</w:t>
      </w:r>
    </w:p>
    <w:p>
      <w:pPr>
        <w:pStyle w:val="ListParagraph"/>
        <w:numPr>
          <w:ilvl w:val="0"/>
          <w:numId w:val="1"/>
        </w:numPr>
      </w:pPr>
      <w:r>
        <w:t xml:space="preserve">All data is synthetic and provided in the closed corpus; no external validation was performed.</w:t>
      </w:r>
    </w:p>
    <w:p>
      <w:pPr>
        <w:pStyle w:val="ListParagraph"/>
        <w:numPr>
          <w:ilvl w:val="0"/>
          <w:numId w:val="1"/>
        </w:numPr>
      </w:pPr>
      <w:r>
        <w:t xml:space="preserve">The survey response rate was 40% (240 of 600), which may introduce non-response bias.</w:t>
      </w:r>
    </w:p>
    <w:p>
      <w:pPr>
        <w:pStyle w:val="ListParagraph"/>
        <w:numPr>
          <w:ilvl w:val="0"/>
          <w:numId w:val="1"/>
        </w:numPr>
      </w:pPr>
      <w:r>
        <w:t xml:space="preserve">The cost model excludes warehouse expansion, which could affect total costs.</w:t>
      </w:r>
    </w:p>
    <w:p>
      <w:pPr>
        <w:pStyle w:val="ListParagraph"/>
        <w:numPr>
          <w:ilvl w:val="0"/>
          <w:numId w:val="1"/>
        </w:numPr>
      </w:pPr>
      <w:r>
        <w:t xml:space="preserve">The competitive landscape source does not report retention or profitability, limiting competitive analysis.</w:t>
      </w:r>
    </w:p>
    <w:p>
      <w:pPr>
        <w:pStyle w:val="ListParagraph"/>
        <w:numPr>
          <w:ilvl w:val="0"/>
          <w:numId w:val="1"/>
        </w:numPr>
      </w:pPr>
      <w:r>
        <w:t xml:space="preserve">The pilot cost estimate is based on assumptions that may not hold in practice, such as the 82% return rate.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color w:val="30303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906f08f25427fb696bc5ae6acad99bee2f1f852c.png"/><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Branded market report</dc:title>
  <dc:creator>Outcome evaluation harness</dc:creator>
  <dc:description>Programmatically rendered evaluation artifact for branded-market-report</dc:description>
  <cp:lastModifiedBy>Un-named</cp:lastModifiedBy>
  <cp:revision>1</cp:revision>
  <dcterms:created xsi:type="dcterms:W3CDTF">2026-08-04T08:02:50.722Z</dcterms:created>
  <dcterms:modified xsi:type="dcterms:W3CDTF">2026-08-04T08:02:50.722Z</dcterms:modified>
</cp:coreProperties>
</file>

<file path=docProps/custom.xml><?xml version="1.0" encoding="utf-8"?>
<Properties xmlns="http://schemas.openxmlformats.org/officeDocument/2006/custom-properties" xmlns:vt="http://schemas.openxmlformats.org/officeDocument/2006/docPropsVTypes"/>
</file>